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C192" w14:textId="77777777" w:rsidR="00C1414D" w:rsidRPr="00C1414D" w:rsidRDefault="00C1414D" w:rsidP="00C1414D">
      <w:pPr>
        <w:keepNext/>
        <w:widowControl w:val="0"/>
        <w:numPr>
          <w:ilvl w:val="1"/>
          <w:numId w:val="0"/>
        </w:numPr>
        <w:autoSpaceDE w:val="0"/>
        <w:autoSpaceDN w:val="0"/>
        <w:adjustRightInd w:val="0"/>
        <w:spacing w:before="120" w:after="120" w:line="240" w:lineRule="auto"/>
        <w:ind w:left="578" w:hanging="578"/>
        <w:outlineLvl w:val="1"/>
        <w:rPr>
          <w:rFonts w:ascii="Times New Roman" w:eastAsia="Times New Roman" w:hAnsi="Times New Roman" w:cs="Arial"/>
          <w:bCs/>
          <w:smallCaps/>
          <w:szCs w:val="28"/>
          <w:lang w:eastAsia="fr-FR"/>
        </w:rPr>
      </w:pPr>
      <w:bookmarkStart w:id="0" w:name="_Toc87886451"/>
      <w:bookmarkStart w:id="1" w:name="_Toc108430796"/>
      <w:r w:rsidRPr="00C1414D">
        <w:rPr>
          <w:rFonts w:ascii="Times New Roman" w:eastAsia="Times New Roman" w:hAnsi="Times New Roman" w:cs="Arial"/>
          <w:bCs/>
          <w:smallCaps/>
          <w:szCs w:val="28"/>
          <w:lang w:eastAsia="fr-FR"/>
        </w:rPr>
        <w:t>Exemple d’attestation</w:t>
      </w:r>
      <w:bookmarkEnd w:id="0"/>
      <w:bookmarkEnd w:id="1"/>
      <w:r w:rsidRPr="00C1414D">
        <w:rPr>
          <w:rFonts w:ascii="Times New Roman" w:eastAsia="Times New Roman" w:hAnsi="Times New Roman" w:cs="Arial"/>
          <w:bCs/>
          <w:smallCaps/>
          <w:szCs w:val="28"/>
          <w:lang w:eastAsia="fr-FR"/>
        </w:rPr>
        <w:t xml:space="preserve"> </w:t>
      </w:r>
    </w:p>
    <w:p w14:paraId="34EDAC1F" w14:textId="60D1E773" w:rsidR="00C1414D" w:rsidRPr="00C1414D" w:rsidRDefault="00C1414D" w:rsidP="00C1414D">
      <w:pPr>
        <w:widowControl w:val="0"/>
        <w:spacing w:before="100" w:beforeAutospacing="1" w:after="100" w:afterAutospacing="1" w:line="240" w:lineRule="auto"/>
        <w:jc w:val="center"/>
        <w:rPr>
          <w:rFonts w:cs="Tahoma"/>
          <w:b/>
        </w:rPr>
      </w:pPr>
      <w:bookmarkStart w:id="2" w:name="_Hlk89191436"/>
      <w:r w:rsidRPr="00C1414D">
        <w:rPr>
          <w:rFonts w:cs="Tahoma"/>
          <w:b/>
          <w:iCs/>
        </w:rPr>
        <w:t>Attestation du (des) commissaire(s)</w:t>
      </w:r>
      <w:r w:rsidRPr="00C1414D">
        <w:rPr>
          <w:rFonts w:cs="Tahoma"/>
          <w:b/>
        </w:rPr>
        <w:t xml:space="preserve"> </w:t>
      </w:r>
      <w:proofErr w:type="gramStart"/>
      <w:r w:rsidRPr="00C1414D">
        <w:rPr>
          <w:rFonts w:cs="Tahoma"/>
          <w:b/>
          <w:iCs/>
        </w:rPr>
        <w:t>aux comptes prévue</w:t>
      </w:r>
      <w:proofErr w:type="gramEnd"/>
      <w:r w:rsidRPr="00C1414D">
        <w:rPr>
          <w:rFonts w:cs="Tahoma"/>
          <w:b/>
          <w:iCs/>
        </w:rPr>
        <w:t xml:space="preserve"> à</w:t>
      </w:r>
      <w:r w:rsidRPr="00C1414D">
        <w:rPr>
          <w:rFonts w:cs="Tahoma"/>
          <w:b/>
        </w:rPr>
        <w:t xml:space="preserve"> l’article </w:t>
      </w:r>
      <w:r w:rsidR="00C754DC">
        <w:rPr>
          <w:rFonts w:cs="Tahoma"/>
          <w:b/>
        </w:rPr>
        <w:t>9</w:t>
      </w:r>
      <w:r w:rsidRPr="00C1414D">
        <w:rPr>
          <w:rFonts w:cs="Tahoma"/>
          <w:b/>
        </w:rPr>
        <w:t xml:space="preserve"> – II. </w:t>
      </w:r>
      <w:proofErr w:type="gramStart"/>
      <w:r w:rsidRPr="00C1414D">
        <w:rPr>
          <w:rFonts w:cs="Tahoma"/>
          <w:b/>
        </w:rPr>
        <w:t>du</w:t>
      </w:r>
      <w:proofErr w:type="gramEnd"/>
      <w:r w:rsidRPr="00C1414D">
        <w:rPr>
          <w:rFonts w:cs="Tahoma"/>
          <w:b/>
        </w:rPr>
        <w:t xml:space="preserve"> décret n° 2022-967</w:t>
      </w:r>
      <w:r w:rsidRPr="00C1414D">
        <w:rPr>
          <w:rFonts w:cs="Tahoma"/>
          <w:b/>
        </w:rPr>
        <w:br/>
        <w:t xml:space="preserve">instituant une aide visant à compenser la hausse des coûts d’approvisionnement de gaz naturel </w:t>
      </w:r>
      <w:r w:rsidRPr="00C1414D">
        <w:rPr>
          <w:rFonts w:cs="Tahoma"/>
          <w:b/>
        </w:rPr>
        <w:br/>
        <w:t xml:space="preserve">et d’électricité des entreprises </w:t>
      </w:r>
      <w:r w:rsidRPr="00C1414D">
        <w:rPr>
          <w:rFonts w:cs="Tahoma"/>
          <w:b/>
          <w:bCs/>
        </w:rPr>
        <w:t xml:space="preserve">particulièrement affectées par les conséquences économiques </w:t>
      </w:r>
      <w:r w:rsidRPr="00C1414D">
        <w:rPr>
          <w:rFonts w:cs="Tahoma"/>
          <w:b/>
          <w:bCs/>
        </w:rPr>
        <w:br/>
        <w:t>et financières de la guerre en Ukraine</w:t>
      </w:r>
    </w:p>
    <w:p w14:paraId="1CF0EFF0"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Au … [</w:t>
      </w:r>
      <w:r w:rsidRPr="00C1414D">
        <w:rPr>
          <w:rFonts w:cs="Tahoma"/>
          <w:i/>
          <w:iCs/>
        </w:rPr>
        <w:t>Représentant légal</w:t>
      </w:r>
      <w:r w:rsidRPr="00C1414D">
        <w:rPr>
          <w:rFonts w:cs="Tahoma"/>
          <w:iCs/>
        </w:rPr>
        <w:t>],</w:t>
      </w:r>
    </w:p>
    <w:p w14:paraId="62319963" w14:textId="2DC3D4A9" w:rsidR="00C1414D" w:rsidRPr="00C1414D" w:rsidRDefault="00C1414D" w:rsidP="00C1414D">
      <w:pPr>
        <w:spacing w:before="100" w:beforeAutospacing="1" w:after="100" w:afterAutospacing="1" w:line="240" w:lineRule="auto"/>
        <w:jc w:val="both"/>
        <w:rPr>
          <w:rFonts w:cs="Tahoma"/>
          <w:iCs/>
        </w:rPr>
      </w:pPr>
      <w:r w:rsidRPr="00C1414D">
        <w:rPr>
          <w:rFonts w:cs="Tahoma"/>
          <w:iCs/>
        </w:rPr>
        <w:t>En notre qualité de commissaire(s) aux comptes de votre … [</w:t>
      </w:r>
      <w:r w:rsidRPr="00C1414D">
        <w:rPr>
          <w:rFonts w:cs="Tahoma"/>
          <w:i/>
          <w:iCs/>
        </w:rPr>
        <w:t>entité</w:t>
      </w:r>
      <w:r w:rsidRPr="00C1414D">
        <w:rPr>
          <w:rFonts w:cs="Tahoma"/>
          <w:iCs/>
        </w:rPr>
        <w:t xml:space="preserve">] et en application de l’article </w:t>
      </w:r>
      <w:r w:rsidR="00C754DC">
        <w:rPr>
          <w:rFonts w:cs="Tahoma"/>
          <w:iCs/>
        </w:rPr>
        <w:t>9</w:t>
      </w:r>
      <w:r w:rsidRPr="00C1414D">
        <w:rPr>
          <w:rFonts w:cs="Tahoma"/>
          <w:iCs/>
        </w:rPr>
        <w:t xml:space="preserve"> – II.</w:t>
      </w:r>
      <w:r w:rsidRPr="00C1414D">
        <w:rPr>
          <w:rFonts w:cs="Tahoma"/>
          <w:iCs/>
          <w:vertAlign w:val="superscript"/>
        </w:rPr>
        <w:t xml:space="preserve"> </w:t>
      </w:r>
      <w:proofErr w:type="gramStart"/>
      <w:r w:rsidRPr="00C1414D">
        <w:rPr>
          <w:rFonts w:cs="Tahoma"/>
          <w:iCs/>
        </w:rPr>
        <w:t>du</w:t>
      </w:r>
      <w:proofErr w:type="gramEnd"/>
      <w:r w:rsidRPr="00C1414D">
        <w:rPr>
          <w:rFonts w:cs="Tahoma"/>
          <w:iCs/>
        </w:rPr>
        <w:t xml:space="preserve"> décret n° 2022-</w:t>
      </w:r>
      <w:bookmarkStart w:id="3" w:name="_Hlk87983638"/>
      <w:r w:rsidRPr="00C1414D">
        <w:rPr>
          <w:rFonts w:cs="Tahoma"/>
          <w:iCs/>
        </w:rPr>
        <w:t>967 « </w:t>
      </w:r>
      <w:r w:rsidRPr="00C1414D">
        <w:rPr>
          <w:rFonts w:cs="Tahoma"/>
          <w:i/>
        </w:rPr>
        <w:t xml:space="preserve">instituant une aide visant à compenser la hausse des coûts d’approvisionnement de gaz naturel et d’électricité des entreprises </w:t>
      </w:r>
      <w:r w:rsidRPr="00C1414D">
        <w:rPr>
          <w:rFonts w:cs="Tahoma"/>
          <w:bCs/>
          <w:i/>
        </w:rPr>
        <w:t>particulièrement affectées par les conséquences économiques et financières de la guerre en Ukraine</w:t>
      </w:r>
      <w:r w:rsidRPr="00C1414D">
        <w:rPr>
          <w:rFonts w:cs="Tahoma"/>
          <w:iCs/>
        </w:rPr>
        <w:t>»</w:t>
      </w:r>
      <w:bookmarkEnd w:id="3"/>
      <w:r w:rsidRPr="00C1414D">
        <w:rPr>
          <w:rFonts w:cs="Tahoma"/>
          <w:iCs/>
        </w:rPr>
        <w:t>, nous avons établi la présente attestation sur</w:t>
      </w:r>
      <w:r w:rsidRPr="00C1414D">
        <w:rPr>
          <w:lang w:eastAsia="fr-FR"/>
        </w:rPr>
        <w:t xml:space="preserve"> </w:t>
      </w:r>
      <w:r w:rsidRPr="00C1414D">
        <w:rPr>
          <w:rFonts w:cs="Tahoma"/>
          <w:iCs/>
        </w:rPr>
        <w:t>les informations suivantes figurant dans l’attestation établie par votre  [</w:t>
      </w:r>
      <w:r w:rsidRPr="00C1414D">
        <w:rPr>
          <w:rFonts w:cs="Tahoma"/>
          <w:i/>
          <w:iCs/>
        </w:rPr>
        <w:t>entité</w:t>
      </w:r>
      <w:r w:rsidRPr="00C1414D">
        <w:rPr>
          <w:rFonts w:cs="Tahoma"/>
          <w:iCs/>
        </w:rPr>
        <w:t>] :</w:t>
      </w:r>
    </w:p>
    <w:p w14:paraId="122B1A8D" w14:textId="4CC2143C"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5</w:t>
      </w:r>
      <w:r w:rsidR="00C754DC">
        <w:rPr>
          <w:rFonts w:cs="Tahoma"/>
          <w:i/>
        </w:rPr>
        <w:t>0</w:t>
      </w:r>
      <w:r w:rsidRPr="00C1414D">
        <w:rPr>
          <w:rFonts w:cs="Tahoma"/>
          <w:i/>
        </w:rPr>
        <w:t xml:space="preserve"> M€ ou </w:t>
      </w:r>
      <w:r w:rsidR="00C754DC">
        <w:rPr>
          <w:rFonts w:cs="Tahoma"/>
          <w:i/>
        </w:rPr>
        <w:t>1</w:t>
      </w:r>
      <w:r w:rsidRPr="00C1414D">
        <w:rPr>
          <w:rFonts w:cs="Tahoma"/>
          <w:i/>
        </w:rPr>
        <w:t>50 M€ :</w:t>
      </w:r>
    </w:p>
    <w:p w14:paraId="1AA65E74" w14:textId="4C8F2E84"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chiffre d’affaires du </w:t>
      </w:r>
      <w:r w:rsidR="004567AB" w:rsidRPr="004567AB">
        <w:rPr>
          <w:rFonts w:cs="Tahoma"/>
          <w:i/>
          <w:iCs/>
        </w:rPr>
        <w:t xml:space="preserve">[choisir entre le </w:t>
      </w:r>
      <w:r w:rsidRPr="004567AB">
        <w:rPr>
          <w:rFonts w:cs="Tahoma"/>
          <w:i/>
          <w:iCs/>
        </w:rPr>
        <w:t>1</w:t>
      </w:r>
      <w:r w:rsidRPr="004567AB">
        <w:rPr>
          <w:rFonts w:cs="Tahoma"/>
          <w:i/>
          <w:iCs/>
          <w:vertAlign w:val="superscript"/>
        </w:rPr>
        <w:t>er</w:t>
      </w:r>
      <w:r w:rsidRPr="004567AB">
        <w:rPr>
          <w:rFonts w:cs="Tahoma"/>
          <w:i/>
          <w:iCs/>
        </w:rPr>
        <w:t xml:space="preserve"> janvier au 31 décembre 2021</w:t>
      </w:r>
      <w:r w:rsidR="00C754DC" w:rsidRPr="004567AB">
        <w:rPr>
          <w:rStyle w:val="Appelnotedebasdep"/>
          <w:rFonts w:cs="Tahoma"/>
          <w:i/>
          <w:iCs/>
        </w:rPr>
        <w:footnoteReference w:id="1"/>
      </w:r>
      <w:r w:rsidR="004567AB" w:rsidRPr="004567AB">
        <w:rPr>
          <w:rFonts w:cs="Tahoma"/>
          <w:i/>
          <w:iCs/>
        </w:rPr>
        <w:t xml:space="preserve"> et 1</w:t>
      </w:r>
      <w:r w:rsidR="004567AB" w:rsidRPr="004567AB">
        <w:rPr>
          <w:rFonts w:cs="Tahoma"/>
          <w:i/>
          <w:iCs/>
          <w:vertAlign w:val="superscript"/>
        </w:rPr>
        <w:t>er</w:t>
      </w:r>
      <w:r w:rsidR="004567AB" w:rsidRPr="004567AB">
        <w:rPr>
          <w:rFonts w:cs="Tahoma"/>
          <w:i/>
          <w:iCs/>
        </w:rPr>
        <w:t xml:space="preserve"> janvier 2022 au 30 juin 2022]</w:t>
      </w:r>
      <w:r w:rsidRPr="00C1414D">
        <w:rPr>
          <w:rFonts w:cs="Tahoma"/>
          <w:iCs/>
        </w:rPr>
        <w:t> ;</w:t>
      </w:r>
    </w:p>
    <w:p w14:paraId="7B8249B3" w14:textId="77777777"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l’excédent</w:t>
      </w:r>
      <w:proofErr w:type="gramEnd"/>
      <w:r w:rsidRPr="00C1414D">
        <w:rPr>
          <w:rFonts w:cs="Tahoma"/>
          <w:iCs/>
        </w:rPr>
        <w:t xml:space="preserve"> brut d’exploitation « gaz et électricité » pour la période [</w:t>
      </w:r>
      <w:r w:rsidRPr="00C1414D">
        <w:rPr>
          <w:rFonts w:cs="Tahoma"/>
          <w:i/>
        </w:rPr>
        <w:t>période pour laquelle l’aide est demandée</w:t>
      </w:r>
      <w:r w:rsidRPr="00C1414D">
        <w:rPr>
          <w:rFonts w:cs="Tahoma"/>
          <w:iCs/>
        </w:rPr>
        <w:t>] ;</w:t>
      </w:r>
    </w:p>
    <w:p w14:paraId="505255C2" w14:textId="50E7D31B"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coût éligible total pour </w:t>
      </w:r>
      <w:r w:rsidR="004567AB">
        <w:rPr>
          <w:rFonts w:cs="Tahoma"/>
          <w:i/>
          <w:iCs/>
        </w:rPr>
        <w:t>[</w:t>
      </w:r>
      <w:r w:rsidRPr="004567AB">
        <w:rPr>
          <w:rFonts w:cs="Tahoma"/>
          <w:i/>
          <w:iCs/>
        </w:rPr>
        <w:t>cette même période</w:t>
      </w:r>
      <w:r w:rsidRPr="00C1414D">
        <w:rPr>
          <w:rFonts w:cs="Tahoma"/>
          <w:iCs/>
        </w:rPr>
        <w:t>.]</w:t>
      </w:r>
    </w:p>
    <w:p w14:paraId="01B0C587" w14:textId="77777777" w:rsidR="00C1414D" w:rsidRPr="00C1414D" w:rsidRDefault="00C1414D" w:rsidP="00C1414D">
      <w:pPr>
        <w:keepNext/>
        <w:keepLines/>
        <w:spacing w:before="100" w:beforeAutospacing="1" w:after="100" w:afterAutospacing="1" w:line="240" w:lineRule="auto"/>
        <w:jc w:val="both"/>
        <w:rPr>
          <w:rFonts w:cs="Tahoma"/>
          <w:iCs/>
        </w:rPr>
      </w:pPr>
      <w:r w:rsidRPr="00C1414D">
        <w:rPr>
          <w:rFonts w:cs="Tahoma"/>
          <w:iCs/>
        </w:rPr>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75967B8B"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 xml:space="preserve">Il nous appartient d’attester ces informations. </w:t>
      </w:r>
    </w:p>
    <w:p w14:paraId="290E89D9"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bookmarkStart w:id="4" w:name="_Ref78909798"/>
      <w:r w:rsidRPr="00C1414D">
        <w:rPr>
          <w:rFonts w:cs="Tahoma"/>
          <w:iCs/>
          <w:vertAlign w:val="superscript"/>
        </w:rPr>
        <w:footnoteReference w:id="2"/>
      </w:r>
      <w:bookmarkEnd w:id="4"/>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2DCB0819" w14:textId="2BF86D4C" w:rsidR="00C1414D" w:rsidRPr="00C1414D" w:rsidRDefault="00C1414D" w:rsidP="00C1414D">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sidR="006168ED">
        <w:rPr>
          <w:rFonts w:cs="Tahoma"/>
        </w:rPr>
        <w:fldChar w:fldCharType="begin"/>
      </w:r>
      <w:r w:rsidR="006168ED">
        <w:rPr>
          <w:rFonts w:cs="Tahoma"/>
        </w:rPr>
        <w:instrText xml:space="preserve"> NOTEREF _Ref78909798 \f \h </w:instrText>
      </w:r>
      <w:r w:rsidR="006168ED">
        <w:rPr>
          <w:rFonts w:cs="Tahoma"/>
        </w:rPr>
      </w:r>
      <w:r w:rsidR="006168ED">
        <w:rPr>
          <w:rFonts w:cs="Tahoma"/>
        </w:rPr>
        <w:fldChar w:fldCharType="separate"/>
      </w:r>
      <w:r w:rsidR="006168ED" w:rsidRPr="006168ED">
        <w:rPr>
          <w:rStyle w:val="Appelnotedebasdep"/>
        </w:rPr>
        <w:t>3</w:t>
      </w:r>
      <w:r w:rsidR="006168ED">
        <w:rPr>
          <w:rFonts w:cs="Tahoma"/>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1027EBF"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 xml:space="preserve">Nous avons mis en œuvre les diligences que nous avons estimé nécessaires au regard de la doctrine professionnelle de la Compagnie nationale des commissaires aux comptes relative à cette mission. Ces </w:t>
      </w:r>
      <w:r w:rsidRPr="00C1414D">
        <w:rPr>
          <w:rFonts w:cs="Tahoma"/>
          <w:iCs/>
        </w:rPr>
        <w:lastRenderedPageBreak/>
        <w:t>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37C55328" w14:textId="77777777" w:rsidR="00C1414D" w:rsidRPr="00C1414D" w:rsidRDefault="00C1414D" w:rsidP="00C1414D">
      <w:pPr>
        <w:numPr>
          <w:ilvl w:val="0"/>
          <w:numId w:val="1"/>
        </w:numPr>
        <w:spacing w:before="100" w:beforeAutospacing="1" w:after="0" w:afterAutospacing="1" w:line="240" w:lineRule="auto"/>
        <w:jc w:val="both"/>
        <w:rPr>
          <w:rFonts w:cs="Tahoma"/>
          <w:iCs/>
        </w:rPr>
      </w:pPr>
      <w:proofErr w:type="gramStart"/>
      <w:r w:rsidRPr="00C1414D">
        <w:rPr>
          <w:rFonts w:cs="Tahoma"/>
          <w:iCs/>
        </w:rPr>
        <w:t>prendre</w:t>
      </w:r>
      <w:proofErr w:type="gramEnd"/>
      <w:r w:rsidRPr="00C1414D">
        <w:rPr>
          <w:rFonts w:cs="Tahoma"/>
          <w:iCs/>
        </w:rPr>
        <w:t xml:space="preserve"> connaissance des procédures spécifiques mises en place par votre </w:t>
      </w:r>
      <w:bookmarkStart w:id="6" w:name="_Hlk105076743"/>
      <w:r w:rsidRPr="00C1414D">
        <w:rPr>
          <w:rFonts w:cs="Tahoma"/>
          <w:iCs/>
        </w:rPr>
        <w:t>[</w:t>
      </w:r>
      <w:r w:rsidRPr="00C1414D">
        <w:rPr>
          <w:rFonts w:cs="Tahoma"/>
          <w:i/>
        </w:rPr>
        <w:t>entité</w:t>
      </w:r>
      <w:r w:rsidRPr="00C1414D">
        <w:rPr>
          <w:rFonts w:cs="Tahoma"/>
          <w:iCs/>
        </w:rPr>
        <w:t xml:space="preserve">] </w:t>
      </w:r>
      <w:bookmarkEnd w:id="6"/>
      <w:r w:rsidRPr="00C1414D">
        <w:rPr>
          <w:rFonts w:cs="Tahoma"/>
          <w:iCs/>
        </w:rPr>
        <w:t>pour déterminer :</w:t>
      </w:r>
    </w:p>
    <w:p w14:paraId="28140358" w14:textId="52CE5B52"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montant des dépenses d’énergie(s) de votre </w:t>
      </w:r>
      <w:r w:rsidRPr="00C1414D">
        <w:rPr>
          <w:rFonts w:cs="Tahoma"/>
          <w:i/>
        </w:rPr>
        <w:t>[entité]</w:t>
      </w:r>
      <w:r w:rsidRPr="00C1414D">
        <w:rPr>
          <w:rFonts w:cs="Tahoma"/>
          <w:iCs/>
        </w:rPr>
        <w:t xml:space="preserve"> au cours de </w:t>
      </w:r>
      <w:r w:rsidR="006168ED">
        <w:rPr>
          <w:rFonts w:cs="Tahoma"/>
          <w:iCs/>
        </w:rPr>
        <w:t>[</w:t>
      </w:r>
      <w:r w:rsidRPr="006168ED">
        <w:rPr>
          <w:rFonts w:cs="Tahoma"/>
          <w:i/>
          <w:iCs/>
        </w:rPr>
        <w:t>la période de référence</w:t>
      </w:r>
      <w:r w:rsidR="006168ED" w:rsidRPr="006168ED">
        <w:rPr>
          <w:rFonts w:cs="Tahoma"/>
          <w:i/>
          <w:iCs/>
        </w:rPr>
        <w:t xml:space="preserve"> ou du </w:t>
      </w:r>
      <w:r w:rsidR="009F76D7">
        <w:rPr>
          <w:rFonts w:cs="Tahoma"/>
          <w:i/>
          <w:iCs/>
        </w:rPr>
        <w:t>deuxième</w:t>
      </w:r>
      <w:r w:rsidR="006168ED" w:rsidRPr="006168ED">
        <w:rPr>
          <w:rFonts w:cs="Tahoma"/>
          <w:i/>
          <w:iCs/>
        </w:rPr>
        <w:t xml:space="preserve"> semestre 2022</w:t>
      </w:r>
      <w:r w:rsidR="006168ED">
        <w:rPr>
          <w:rFonts w:cs="Tahoma"/>
          <w:iCs/>
        </w:rPr>
        <w:t>]</w:t>
      </w:r>
      <w:r w:rsidRPr="00C1414D">
        <w:rPr>
          <w:rFonts w:cs="Tahoma"/>
          <w:iCs/>
        </w:rPr>
        <w:t> ;</w:t>
      </w:r>
    </w:p>
    <w:p w14:paraId="22D10A55" w14:textId="7485D34C"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l’excédent</w:t>
      </w:r>
      <w:proofErr w:type="gramEnd"/>
      <w:r w:rsidRPr="00C1414D">
        <w:rPr>
          <w:rFonts w:cs="Tahoma"/>
          <w:iCs/>
        </w:rPr>
        <w:t xml:space="preserve"> brut d’exploitation (EBE) « gaz et électricité » de la période … </w:t>
      </w:r>
      <w:bookmarkStart w:id="7" w:name="_Hlk105077973"/>
      <w:r w:rsidRPr="00C1414D">
        <w:rPr>
          <w:rFonts w:cs="Tahoma"/>
          <w:iCs/>
        </w:rPr>
        <w:t>[</w:t>
      </w:r>
      <w:r w:rsidRPr="00C1414D">
        <w:rPr>
          <w:rFonts w:cs="Tahoma"/>
          <w:i/>
        </w:rPr>
        <w:t xml:space="preserve">période éligible </w:t>
      </w:r>
      <w:r w:rsidR="004C73EF">
        <w:rPr>
          <w:rFonts w:cs="Tahoma"/>
          <w:i/>
        </w:rPr>
        <w:t xml:space="preserve">bimensuelle </w:t>
      </w:r>
      <w:r w:rsidRPr="00C1414D">
        <w:rPr>
          <w:rFonts w:cs="Tahoma"/>
          <w:i/>
        </w:rPr>
        <w:t>considérée</w:t>
      </w:r>
      <w:r w:rsidRPr="00C1414D">
        <w:rPr>
          <w:rFonts w:cs="Tahoma"/>
          <w:iCs/>
        </w:rPr>
        <w:t>] </w:t>
      </w:r>
      <w:bookmarkEnd w:id="7"/>
      <w:r w:rsidRPr="00C1414D">
        <w:rPr>
          <w:rFonts w:cs="Tahoma"/>
          <w:iCs/>
        </w:rPr>
        <w:t xml:space="preserve">; </w:t>
      </w:r>
    </w:p>
    <w:p w14:paraId="48861DAB" w14:textId="3A7D76CE"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l’EBE</w:t>
      </w:r>
      <w:proofErr w:type="gramEnd"/>
      <w:r w:rsidRPr="00C1414D">
        <w:rPr>
          <w:rFonts w:cs="Tahoma"/>
          <w:iCs/>
        </w:rPr>
        <w:t xml:space="preserve"> « gaz et électricité » de la période de référence, ramené sur </w:t>
      </w:r>
      <w:r w:rsidR="007511A0">
        <w:rPr>
          <w:rFonts w:cs="Tahoma"/>
          <w:iCs/>
        </w:rPr>
        <w:t>deux</w:t>
      </w:r>
      <w:r w:rsidR="007511A0" w:rsidRPr="00C1414D">
        <w:rPr>
          <w:rFonts w:cs="Tahoma"/>
          <w:iCs/>
        </w:rPr>
        <w:t xml:space="preserve"> </w:t>
      </w:r>
      <w:r w:rsidRPr="00C1414D">
        <w:rPr>
          <w:rFonts w:cs="Tahoma"/>
          <w:iCs/>
        </w:rPr>
        <w:t>mois ou l’EBE « gaz et électricité » de …. [</w:t>
      </w:r>
      <w:proofErr w:type="gramStart"/>
      <w:r w:rsidRPr="00C1414D">
        <w:rPr>
          <w:rFonts w:cs="Tahoma"/>
          <w:i/>
        </w:rPr>
        <w:t>même</w:t>
      </w:r>
      <w:proofErr w:type="gramEnd"/>
      <w:r w:rsidRPr="00C1414D">
        <w:rPr>
          <w:rFonts w:cs="Tahoma"/>
          <w:i/>
        </w:rPr>
        <w:t xml:space="preserve"> période éligible </w:t>
      </w:r>
      <w:r w:rsidR="00964133">
        <w:rPr>
          <w:rFonts w:cs="Tahoma"/>
          <w:i/>
        </w:rPr>
        <w:t>bimensuelle</w:t>
      </w:r>
      <w:r w:rsidRPr="00C1414D">
        <w:rPr>
          <w:rFonts w:cs="Tahoma"/>
          <w:iCs/>
        </w:rPr>
        <w:t xml:space="preserve"> au cours de la période de référence </w:t>
      </w:r>
      <w:r w:rsidRPr="00C1414D">
        <w:rPr>
          <w:rFonts w:cs="Tahoma"/>
          <w:i/>
        </w:rPr>
        <w:t xml:space="preserve">] </w:t>
      </w:r>
      <w:r w:rsidRPr="00C1414D">
        <w:rPr>
          <w:rFonts w:cs="Tahoma"/>
          <w:iCs/>
        </w:rPr>
        <w:t>;</w:t>
      </w:r>
    </w:p>
    <w:p w14:paraId="5C2D0B33" w14:textId="4E6512F7"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chiffre d’affaires </w:t>
      </w:r>
      <w:r w:rsidR="008127E5" w:rsidRPr="008127E5">
        <w:rPr>
          <w:rFonts w:cs="Tahoma"/>
          <w:i/>
          <w:iCs/>
        </w:rPr>
        <w:t>[</w:t>
      </w:r>
      <w:r w:rsidRPr="008127E5">
        <w:rPr>
          <w:rFonts w:cs="Tahoma"/>
          <w:i/>
          <w:iCs/>
        </w:rPr>
        <w:t>de la période de référence</w:t>
      </w:r>
      <w:r w:rsidR="008127E5" w:rsidRPr="008127E5">
        <w:rPr>
          <w:rFonts w:cs="Tahoma"/>
          <w:i/>
          <w:iCs/>
        </w:rPr>
        <w:t xml:space="preserve"> ou du </w:t>
      </w:r>
      <w:r w:rsidR="009F76D7">
        <w:rPr>
          <w:rFonts w:cs="Tahoma"/>
          <w:i/>
          <w:iCs/>
        </w:rPr>
        <w:t>deuxième</w:t>
      </w:r>
      <w:r w:rsidR="008127E5" w:rsidRPr="008127E5">
        <w:rPr>
          <w:rFonts w:cs="Tahoma"/>
          <w:i/>
          <w:iCs/>
        </w:rPr>
        <w:t xml:space="preserve"> semestre 2022]</w:t>
      </w:r>
      <w:r w:rsidRPr="00C1414D">
        <w:rPr>
          <w:rFonts w:cs="Tahoma"/>
          <w:iCs/>
        </w:rPr>
        <w:t> ;</w:t>
      </w:r>
    </w:p>
    <w:p w14:paraId="47139AD0" w14:textId="0CE448F0"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prix unitaire moyen d’énergie(s) payé par votre [</w:t>
      </w:r>
      <w:r w:rsidRPr="00C1414D">
        <w:rPr>
          <w:rFonts w:cs="Tahoma"/>
          <w:i/>
          <w:iCs/>
        </w:rPr>
        <w:t>entité</w:t>
      </w:r>
      <w:r w:rsidRPr="00C1414D">
        <w:rPr>
          <w:rFonts w:cs="Tahoma"/>
          <w:iCs/>
        </w:rPr>
        <w:t>] pendant la période de référence ;</w:t>
      </w:r>
    </w:p>
    <w:p w14:paraId="5626FDFF" w14:textId="2B60F229"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prix unitaire moyen d’énergie(s) payé par votre [</w:t>
      </w:r>
      <w:r w:rsidRPr="00C1414D">
        <w:rPr>
          <w:rFonts w:cs="Tahoma"/>
          <w:i/>
          <w:iCs/>
        </w:rPr>
        <w:t>entité</w:t>
      </w:r>
      <w:r w:rsidRPr="00C1414D">
        <w:rPr>
          <w:rFonts w:cs="Tahoma"/>
          <w:iCs/>
        </w:rPr>
        <w:t>]  au cours de chaque mois de la période … [</w:t>
      </w:r>
      <w:r w:rsidRPr="00C1414D">
        <w:rPr>
          <w:rFonts w:cs="Tahoma"/>
          <w:i/>
          <w:iCs/>
        </w:rPr>
        <w:t xml:space="preserve">période éligible </w:t>
      </w:r>
      <w:r w:rsidR="004C73EF">
        <w:rPr>
          <w:rFonts w:cs="Tahoma"/>
          <w:i/>
          <w:iCs/>
        </w:rPr>
        <w:t>bimensuelle</w:t>
      </w:r>
      <w:r w:rsidR="00395E0F">
        <w:rPr>
          <w:rFonts w:cs="Tahoma"/>
          <w:i/>
          <w:iCs/>
        </w:rPr>
        <w:t xml:space="preserve"> </w:t>
      </w:r>
      <w:r w:rsidRPr="00C1414D">
        <w:rPr>
          <w:rFonts w:cs="Tahoma"/>
          <w:i/>
          <w:iCs/>
        </w:rPr>
        <w:t>considérée</w:t>
      </w:r>
      <w:r w:rsidRPr="00C1414D">
        <w:rPr>
          <w:rFonts w:cs="Tahoma"/>
          <w:iCs/>
        </w:rPr>
        <w:t>]  ;</w:t>
      </w:r>
    </w:p>
    <w:p w14:paraId="30EAF0B6" w14:textId="4136E609"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volume d’énergie(s) consommé pendant chaque mois de la période … [</w:t>
      </w:r>
      <w:r w:rsidRPr="00C1414D">
        <w:rPr>
          <w:rFonts w:cs="Tahoma"/>
          <w:i/>
          <w:iCs/>
        </w:rPr>
        <w:t xml:space="preserve">période éligible </w:t>
      </w:r>
      <w:r w:rsidR="004C73EF">
        <w:rPr>
          <w:rFonts w:cs="Tahoma"/>
          <w:i/>
          <w:iCs/>
        </w:rPr>
        <w:t xml:space="preserve">bimensuelle </w:t>
      </w:r>
      <w:r w:rsidRPr="00C1414D">
        <w:rPr>
          <w:rFonts w:cs="Tahoma"/>
          <w:i/>
          <w:iCs/>
        </w:rPr>
        <w:t>considérée</w:t>
      </w:r>
      <w:r w:rsidRPr="00C1414D">
        <w:rPr>
          <w:rFonts w:cs="Tahoma"/>
          <w:iCs/>
        </w:rPr>
        <w:t xml:space="preserve">] ; </w:t>
      </w:r>
    </w:p>
    <w:p w14:paraId="40213E20" w14:textId="7223CA9F"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coût éligible total de la période … [</w:t>
      </w:r>
      <w:r w:rsidRPr="00C1414D">
        <w:rPr>
          <w:rFonts w:cs="Tahoma"/>
          <w:i/>
          <w:iCs/>
        </w:rPr>
        <w:t xml:space="preserve">période éligible </w:t>
      </w:r>
      <w:r w:rsidR="004C73EF">
        <w:rPr>
          <w:rFonts w:cs="Tahoma"/>
          <w:i/>
          <w:iCs/>
        </w:rPr>
        <w:t xml:space="preserve">bimensuelle </w:t>
      </w:r>
      <w:r w:rsidRPr="00C1414D">
        <w:rPr>
          <w:rFonts w:cs="Tahoma"/>
          <w:i/>
          <w:iCs/>
        </w:rPr>
        <w:t>considérée</w:t>
      </w:r>
      <w:r w:rsidRPr="00C1414D">
        <w:rPr>
          <w:rFonts w:cs="Tahoma"/>
          <w:iCs/>
        </w:rPr>
        <w:t>] ;</w:t>
      </w:r>
    </w:p>
    <w:p w14:paraId="56591A74" w14:textId="6221306B" w:rsidR="00C1414D" w:rsidRPr="00C1414D" w:rsidRDefault="00C1414D" w:rsidP="00C1414D">
      <w:pPr>
        <w:spacing w:after="0" w:line="240" w:lineRule="auto"/>
        <w:ind w:left="360"/>
        <w:jc w:val="both"/>
        <w:rPr>
          <w:rFonts w:cs="Tahoma"/>
          <w:iCs/>
        </w:rPr>
      </w:pPr>
      <w:proofErr w:type="gramStart"/>
      <w:r w:rsidRPr="00C1414D">
        <w:rPr>
          <w:rFonts w:cs="Tahoma"/>
          <w:iCs/>
        </w:rPr>
        <w:t>incluant</w:t>
      </w:r>
      <w:proofErr w:type="gramEnd"/>
      <w:r w:rsidRPr="00C1414D">
        <w:rPr>
          <w:rFonts w:cs="Tahoma"/>
          <w:iCs/>
        </w:rPr>
        <w:t xml:space="preserve"> le traitement du rattachement des charges et des produits à la période … [</w:t>
      </w:r>
      <w:r w:rsidRPr="00C1414D">
        <w:rPr>
          <w:rFonts w:cs="Tahoma"/>
          <w:i/>
          <w:iCs/>
        </w:rPr>
        <w:t>période éligible</w:t>
      </w:r>
      <w:r w:rsidR="004C73EF">
        <w:rPr>
          <w:rFonts w:cs="Tahoma"/>
          <w:i/>
          <w:iCs/>
        </w:rPr>
        <w:t xml:space="preserve"> bimensuelle</w:t>
      </w:r>
      <w:r w:rsidRPr="00C1414D">
        <w:rPr>
          <w:rFonts w:cs="Tahoma"/>
          <w:i/>
          <w:iCs/>
        </w:rPr>
        <w:t xml:space="preserve"> considérée</w:t>
      </w:r>
      <w:r w:rsidRPr="00C1414D">
        <w:rPr>
          <w:rFonts w:cs="Tahoma"/>
          <w:iCs/>
        </w:rPr>
        <w:t xml:space="preserve">]  ; </w:t>
      </w:r>
    </w:p>
    <w:p w14:paraId="3358C343" w14:textId="77777777" w:rsidR="00C1414D" w:rsidRPr="00C1414D" w:rsidRDefault="00C1414D" w:rsidP="00C1414D">
      <w:pPr>
        <w:numPr>
          <w:ilvl w:val="0"/>
          <w:numId w:val="1"/>
        </w:numPr>
        <w:spacing w:after="0" w:line="240" w:lineRule="auto"/>
        <w:jc w:val="both"/>
        <w:rPr>
          <w:rFonts w:cs="Tahoma"/>
          <w:iCs/>
        </w:rPr>
      </w:pPr>
      <w:proofErr w:type="gramStart"/>
      <w:r w:rsidRPr="00C1414D">
        <w:rPr>
          <w:rFonts w:cs="Tahoma"/>
          <w:iCs/>
        </w:rPr>
        <w:t>effectuer</w:t>
      </w:r>
      <w:proofErr w:type="gramEnd"/>
      <w:r w:rsidRPr="00C1414D">
        <w:rPr>
          <w:rFonts w:cs="Tahoma"/>
          <w:iCs/>
        </w:rPr>
        <w:t>,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F47A320" w14:textId="2E4B600C"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 concordance des soldes de comptes utilisés pour le calcul de l’EBE « gaz et électricité » de la période … [</w:t>
      </w:r>
      <w:r w:rsidRPr="00C1414D">
        <w:rPr>
          <w:rFonts w:cs="Tahoma"/>
          <w:i/>
          <w:iCs/>
        </w:rPr>
        <w:t>période éligible</w:t>
      </w:r>
      <w:r w:rsidR="004C73EF">
        <w:rPr>
          <w:rFonts w:cs="Tahoma"/>
          <w:i/>
          <w:iCs/>
        </w:rPr>
        <w:t xml:space="preserve"> bimensuelle</w:t>
      </w:r>
      <w:r w:rsidRPr="00C1414D">
        <w:rPr>
          <w:rFonts w:cs="Tahoma"/>
          <w:i/>
          <w:iCs/>
        </w:rPr>
        <w:t xml:space="preserve"> considérée</w:t>
      </w:r>
      <w:r w:rsidRPr="00C1414D">
        <w:rPr>
          <w:rFonts w:cs="Tahoma"/>
          <w:iCs/>
        </w:rPr>
        <w:t xml:space="preserve">],  et du chiffre d’affaires de référence, avec la comptabilité ; </w:t>
      </w:r>
    </w:p>
    <w:p w14:paraId="2A49EEE6" w14:textId="3BC87C50"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proofErr w:type="gramStart"/>
      <w:r w:rsidRPr="00C1414D">
        <w:rPr>
          <w:rFonts w:cs="Tahoma"/>
          <w:iCs/>
        </w:rPr>
        <w:t>vérifier</w:t>
      </w:r>
      <w:bookmarkStart w:id="8" w:name="_Ref108429477"/>
      <w:proofErr w:type="gramEnd"/>
      <w:r w:rsidRPr="00C1414D">
        <w:rPr>
          <w:rFonts w:cs="Tahoma"/>
          <w:iCs/>
          <w:vertAlign w:val="superscript"/>
        </w:rPr>
        <w:footnoteReference w:id="3"/>
      </w:r>
      <w:bookmarkEnd w:id="8"/>
      <w:r w:rsidRPr="00C1414D">
        <w:rPr>
          <w:rFonts w:cs="Tahoma"/>
          <w:iCs/>
        </w:rPr>
        <w:t xml:space="preserve"> la concordance des soldes de comptes utilisés pour le calcul de l’EBE « gaz et électricité » de la période de référence, ramené sur </w:t>
      </w:r>
      <w:r w:rsidR="000C559B">
        <w:rPr>
          <w:rFonts w:cs="Tahoma"/>
          <w:iCs/>
        </w:rPr>
        <w:t>deux</w:t>
      </w:r>
      <w:r w:rsidR="000C559B" w:rsidRPr="00C1414D">
        <w:rPr>
          <w:rFonts w:cs="Tahoma"/>
          <w:iCs/>
        </w:rPr>
        <w:t xml:space="preserve"> </w:t>
      </w:r>
      <w:r w:rsidRPr="00C1414D">
        <w:rPr>
          <w:rFonts w:cs="Tahoma"/>
          <w:iCs/>
        </w:rPr>
        <w:t xml:space="preserve">mois ou de l’EBE « gaz et électricité » de la même période éligible </w:t>
      </w:r>
      <w:r w:rsidR="000C559B">
        <w:rPr>
          <w:rFonts w:cs="Tahoma"/>
          <w:iCs/>
        </w:rPr>
        <w:t>bimensuelle</w:t>
      </w:r>
      <w:r w:rsidR="000C559B" w:rsidRPr="00C1414D">
        <w:rPr>
          <w:rFonts w:cs="Tahoma"/>
          <w:iCs/>
        </w:rPr>
        <w:t xml:space="preserve"> </w:t>
      </w:r>
      <w:r w:rsidRPr="00C1414D">
        <w:rPr>
          <w:rFonts w:cs="Tahoma"/>
          <w:iCs/>
        </w:rPr>
        <w:t>au cours de la période de référence ;</w:t>
      </w:r>
    </w:p>
    <w:p w14:paraId="715EB329" w14:textId="77777777" w:rsidR="00C1414D" w:rsidRPr="00C1414D" w:rsidRDefault="00C1414D" w:rsidP="00C1414D">
      <w:pPr>
        <w:widowControl w:val="0"/>
        <w:numPr>
          <w:ilvl w:val="0"/>
          <w:numId w:val="1"/>
        </w:numPr>
        <w:spacing w:after="0" w:line="240" w:lineRule="auto"/>
        <w:jc w:val="both"/>
        <w:rPr>
          <w:rFonts w:cs="Tahoma"/>
          <w:iCs/>
        </w:rPr>
      </w:pPr>
      <w:proofErr w:type="gramStart"/>
      <w:r w:rsidRPr="00C1414D">
        <w:rPr>
          <w:rFonts w:cs="Tahoma"/>
          <w:iCs/>
        </w:rPr>
        <w:t>vérifier</w:t>
      </w:r>
      <w:proofErr w:type="gramEnd"/>
      <w:r w:rsidRPr="00C1414D">
        <w:rPr>
          <w:rFonts w:cs="Tahoma"/>
          <w:iCs/>
        </w:rPr>
        <w:t xml:space="preserve"> la concordance des données utilisées pour déterminer le coût éligible total avec la comptabilité et les données sous-tendant la comptabilité ;</w:t>
      </w:r>
    </w:p>
    <w:p w14:paraId="590C2248" w14:textId="17AFCEF8" w:rsidR="00C1414D" w:rsidRPr="00C1414D" w:rsidRDefault="00C1414D" w:rsidP="00C1414D">
      <w:pPr>
        <w:widowControl w:val="0"/>
        <w:numPr>
          <w:ilvl w:val="0"/>
          <w:numId w:val="2"/>
        </w:numPr>
        <w:spacing w:after="0" w:line="240" w:lineRule="auto"/>
        <w:jc w:val="both"/>
        <w:rPr>
          <w:rFonts w:cs="Tahoma"/>
          <w:iCs/>
        </w:rPr>
      </w:pPr>
      <w:proofErr w:type="gramStart"/>
      <w:r w:rsidRPr="00C1414D">
        <w:rPr>
          <w:rFonts w:cs="Tahoma"/>
          <w:iCs/>
        </w:rPr>
        <w:t>vérifier</w:t>
      </w:r>
      <w:proofErr w:type="gramEnd"/>
      <w:r w:rsidRPr="00C1414D">
        <w:rPr>
          <w:rFonts w:cs="Tahoma"/>
          <w:iCs/>
        </w:rPr>
        <w:t xml:space="preserve"> la conformité des modalités de calcul de l’EBE « gaz et électricité », de la période … [</w:t>
      </w:r>
      <w:r w:rsidRPr="00C1414D">
        <w:rPr>
          <w:rFonts w:cs="Tahoma"/>
          <w:i/>
          <w:iCs/>
        </w:rPr>
        <w:t xml:space="preserve">période éligible </w:t>
      </w:r>
      <w:r w:rsidR="004C73EF">
        <w:rPr>
          <w:rFonts w:cs="Tahoma"/>
          <w:i/>
          <w:iCs/>
        </w:rPr>
        <w:t xml:space="preserve"> bimensuelle </w:t>
      </w:r>
      <w:r w:rsidRPr="00C1414D">
        <w:rPr>
          <w:rFonts w:cs="Tahoma"/>
          <w:i/>
          <w:iCs/>
        </w:rPr>
        <w:t>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418BFDB2" w14:textId="5511210C"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vérifier</w:t>
      </w:r>
      <w:proofErr w:type="gramEnd"/>
      <w:r w:rsidR="002C4A2E">
        <w:rPr>
          <w:rFonts w:cs="Tahoma"/>
          <w:iCs/>
        </w:rPr>
        <w:fldChar w:fldCharType="begin"/>
      </w:r>
      <w:r w:rsidR="002C4A2E">
        <w:rPr>
          <w:rFonts w:cs="Tahoma"/>
          <w:iCs/>
        </w:rPr>
        <w:instrText xml:space="preserve"> NOTEREF _Ref108429477 \f \h </w:instrText>
      </w:r>
      <w:r w:rsidR="002C4A2E">
        <w:rPr>
          <w:rFonts w:cs="Tahoma"/>
          <w:iCs/>
        </w:rPr>
      </w:r>
      <w:r w:rsidR="002C4A2E">
        <w:rPr>
          <w:rFonts w:cs="Tahoma"/>
          <w:iCs/>
        </w:rPr>
        <w:fldChar w:fldCharType="separate"/>
      </w:r>
      <w:r w:rsidR="002C4A2E" w:rsidRPr="002C4A2E">
        <w:rPr>
          <w:rStyle w:val="Appelnotedebasdep"/>
        </w:rPr>
        <w:t>4</w:t>
      </w:r>
      <w:r w:rsidR="002C4A2E">
        <w:rPr>
          <w:rFonts w:cs="Tahoma"/>
          <w:iCs/>
        </w:rPr>
        <w:fldChar w:fldCharType="end"/>
      </w:r>
      <w:r w:rsidRPr="00C1414D">
        <w:rPr>
          <w:rFonts w:cs="Tahoma"/>
          <w:iCs/>
        </w:rPr>
        <w:t xml:space="preserve"> la conformité des modalités de calcul de l’EBE « gaz et électricité » de la période de référence ramené sur </w:t>
      </w:r>
      <w:r w:rsidR="00675DA1">
        <w:rPr>
          <w:rFonts w:cs="Tahoma"/>
          <w:iCs/>
        </w:rPr>
        <w:t>2</w:t>
      </w:r>
      <w:r w:rsidRPr="00C1414D">
        <w:rPr>
          <w:rFonts w:cs="Tahoma"/>
          <w:iCs/>
        </w:rPr>
        <w:t xml:space="preserve"> mois [</w:t>
      </w:r>
      <w:r w:rsidRPr="00C1414D">
        <w:rPr>
          <w:rFonts w:cs="Tahoma"/>
          <w:i/>
        </w:rPr>
        <w:t>ou</w:t>
      </w:r>
      <w:r w:rsidRPr="00C1414D">
        <w:rPr>
          <w:rFonts w:cs="Tahoma"/>
          <w:iCs/>
        </w:rPr>
        <w:t xml:space="preserve"> de l’EBE « gaz et électricité » de … [</w:t>
      </w:r>
      <w:r w:rsidRPr="00C1414D">
        <w:rPr>
          <w:rFonts w:cs="Tahoma"/>
          <w:i/>
          <w:iCs/>
        </w:rPr>
        <w:t xml:space="preserve">même période éligible </w:t>
      </w:r>
      <w:r w:rsidR="00964133">
        <w:rPr>
          <w:rFonts w:cs="Tahoma"/>
          <w:i/>
          <w:iCs/>
        </w:rPr>
        <w:t>bimensuelle</w:t>
      </w:r>
      <w:r w:rsidR="00964133" w:rsidRPr="00C1414D">
        <w:rPr>
          <w:rFonts w:cs="Tahoma"/>
          <w:i/>
          <w:iCs/>
        </w:rPr>
        <w:t xml:space="preserve"> </w:t>
      </w:r>
      <w:r w:rsidRPr="00C1414D">
        <w:rPr>
          <w:rFonts w:cs="Tahoma"/>
          <w:i/>
          <w:iCs/>
        </w:rPr>
        <w:t>de la période de référence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329071D4" w14:textId="0D2DB3E9"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effectuer</w:t>
      </w:r>
      <w:proofErr w:type="gramEnd"/>
      <w:r w:rsidRPr="00C1414D">
        <w:rPr>
          <w:rFonts w:cs="Tahoma"/>
          <w:iCs/>
        </w:rPr>
        <w:t xml:space="preserve"> un contrôle arithmétique du coût éligible total de la période … </w:t>
      </w:r>
      <w:r w:rsidRPr="00C1414D">
        <w:rPr>
          <w:rFonts w:cs="Tahoma"/>
          <w:i/>
        </w:rPr>
        <w:t xml:space="preserve">[période éligible </w:t>
      </w:r>
      <w:r w:rsidR="004C73EF">
        <w:rPr>
          <w:rFonts w:cs="Tahoma"/>
          <w:i/>
        </w:rPr>
        <w:t xml:space="preserve">bimensuelle </w:t>
      </w:r>
      <w:r w:rsidRPr="00C1414D">
        <w:rPr>
          <w:rFonts w:cs="Tahoma"/>
          <w:i/>
        </w:rPr>
        <w:t>considérée]</w:t>
      </w:r>
      <w:r w:rsidRPr="00C1414D">
        <w:rPr>
          <w:rFonts w:cs="Tahoma"/>
          <w:iCs/>
        </w:rPr>
        <w:t> ;</w:t>
      </w:r>
    </w:p>
    <w:p w14:paraId="6A6B9586"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l’absence </w:t>
      </w:r>
      <w:r w:rsidRPr="00C1414D">
        <w:rPr>
          <w:rFonts w:cs="Tahoma"/>
        </w:rPr>
        <w:t>de dette fiscale ou sociale impayée au 31 décembre 2021, à l’exception de celles qui, à la date de dépôt de la demande d’aide ont été réglées ou sont couvertes par un plan de règlement ;</w:t>
      </w:r>
    </w:p>
    <w:p w14:paraId="3C5428C5" w14:textId="0533C75C"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proofErr w:type="gramStart"/>
      <w:r w:rsidRPr="00C1414D">
        <w:rPr>
          <w:rFonts w:cs="Tahoma"/>
          <w:i/>
        </w:rPr>
        <w:t>le</w:t>
      </w:r>
      <w:proofErr w:type="gramEnd"/>
      <w:r w:rsidRPr="00C1414D">
        <w:rPr>
          <w:rFonts w:cs="Tahoma"/>
          <w:i/>
        </w:rPr>
        <w:t xml:space="preserve"> cas échéant,</w:t>
      </w:r>
      <w:r w:rsidRPr="00C1414D">
        <w:rPr>
          <w:rFonts w:cs="Tahoma"/>
          <w:iCs/>
        </w:rPr>
        <w:t xml:space="preserve"> vérifier la concordance du montant d’aide obtenu au titre d’une précédente période éligible</w:t>
      </w:r>
      <w:r w:rsidR="004C73EF">
        <w:rPr>
          <w:rFonts w:cs="Tahoma"/>
          <w:iCs/>
        </w:rPr>
        <w:t xml:space="preserve"> </w:t>
      </w:r>
      <w:r w:rsidRPr="00C1414D">
        <w:rPr>
          <w:rFonts w:cs="Tahoma"/>
          <w:iCs/>
        </w:rPr>
        <w:t xml:space="preserve">avec la comptabilité [ou le formulaire déposé s’il s’agit d’une autre entreprise du </w:t>
      </w:r>
      <w:r w:rsidRPr="00C1414D">
        <w:rPr>
          <w:rFonts w:cs="Tahoma"/>
          <w:iCs/>
        </w:rPr>
        <w:lastRenderedPageBreak/>
        <w:t>groupe] ;</w:t>
      </w:r>
    </w:p>
    <w:p w14:paraId="03ACE769" w14:textId="77777777" w:rsidR="00C1414D" w:rsidRPr="00C1414D" w:rsidRDefault="00C1414D" w:rsidP="00C1414D">
      <w:pPr>
        <w:widowControl w:val="0"/>
        <w:numPr>
          <w:ilvl w:val="0"/>
          <w:numId w:val="2"/>
        </w:numPr>
        <w:spacing w:after="0" w:line="240" w:lineRule="auto"/>
        <w:ind w:left="357" w:hanging="357"/>
        <w:jc w:val="both"/>
        <w:rPr>
          <w:rFonts w:cs="Tahoma"/>
          <w:iCs/>
        </w:rPr>
      </w:pPr>
      <w:proofErr w:type="gramStart"/>
      <w:r w:rsidRPr="00C1414D">
        <w:rPr>
          <w:rFonts w:cs="Tahoma"/>
          <w:iCs/>
        </w:rPr>
        <w:t>s’enquérir</w:t>
      </w:r>
      <w:proofErr w:type="gramEnd"/>
      <w:r w:rsidRPr="00C1414D">
        <w:rPr>
          <w:rFonts w:cs="Tahoma"/>
          <w:iCs/>
        </w:rPr>
        <w:t xml:space="preserve">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1B365275" w14:textId="77777777" w:rsidR="00C1414D" w:rsidRDefault="00C1414D" w:rsidP="00C1414D">
      <w:pPr>
        <w:numPr>
          <w:ilvl w:val="0"/>
          <w:numId w:val="1"/>
        </w:numPr>
        <w:spacing w:after="0" w:line="240" w:lineRule="auto"/>
        <w:jc w:val="both"/>
      </w:pPr>
      <w:bookmarkStart w:id="9" w:name="_Hlk88059733"/>
      <w:r w:rsidRPr="00C1414D">
        <w:t>[</w:t>
      </w:r>
      <w:proofErr w:type="gramStart"/>
      <w:r w:rsidRPr="00C1414D">
        <w:rPr>
          <w:i/>
          <w:iCs/>
        </w:rPr>
        <w:t>le</w:t>
      </w:r>
      <w:proofErr w:type="gramEnd"/>
      <w:r w:rsidRPr="00C1414D">
        <w:rPr>
          <w:i/>
          <w:iCs/>
        </w:rPr>
        <w:t xml:space="preserv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p w14:paraId="49831B4B" w14:textId="5EDB78B2" w:rsidR="001F7156" w:rsidRPr="00C1414D" w:rsidRDefault="001F7156" w:rsidP="001F7156">
      <w:pPr>
        <w:numPr>
          <w:ilvl w:val="0"/>
          <w:numId w:val="1"/>
        </w:numPr>
        <w:spacing w:after="0" w:line="240" w:lineRule="auto"/>
        <w:jc w:val="both"/>
      </w:pPr>
      <w:proofErr w:type="gramStart"/>
      <w:r>
        <w:t>vérifier</w:t>
      </w:r>
      <w:proofErr w:type="gramEnd"/>
      <w:r>
        <w:t xml:space="preserve"> le respect des limites du montant d’aides relatives à l’excédent brut d’exploitation décrites au 2° du I de l’article 8 et au 2° du II de l’article 8 du décret n°2022-967 du 1</w:t>
      </w:r>
      <w:r w:rsidRPr="001A75D4">
        <w:rPr>
          <w:vertAlign w:val="superscript"/>
        </w:rPr>
        <w:t>er</w:t>
      </w:r>
      <w:r>
        <w:t xml:space="preserve"> juillet 2022 ;</w:t>
      </w:r>
    </w:p>
    <w:bookmarkEnd w:id="2"/>
    <w:bookmarkEnd w:id="9"/>
    <w:p w14:paraId="0E060589"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sans observation</w:t>
      </w:r>
    </w:p>
    <w:p w14:paraId="180F00A2"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Sur la base de nos travaux, nous n’avons pas d’observation à formuler sur les informations figurant dans le document ci-joint.</w:t>
      </w:r>
    </w:p>
    <w:p w14:paraId="1298129B"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avec observation(s)</w:t>
      </w:r>
    </w:p>
    <w:p w14:paraId="6F0E9049" w14:textId="77777777" w:rsidR="00C1414D" w:rsidRPr="00C1414D" w:rsidRDefault="00C1414D" w:rsidP="00C1414D">
      <w:pPr>
        <w:spacing w:after="0" w:line="240" w:lineRule="auto"/>
        <w:jc w:val="both"/>
        <w:rPr>
          <w:rFonts w:cs="Tahoma"/>
          <w:iCs/>
        </w:rPr>
      </w:pPr>
      <w:r w:rsidRPr="00C1414D">
        <w:rPr>
          <w:rFonts w:cs="Tahoma"/>
          <w:iCs/>
        </w:rPr>
        <w:t>Sur la base de nos travaux, les informations figurant dans le document ci-joint appellent de notre part les observations suivantes : …</w:t>
      </w:r>
    </w:p>
    <w:p w14:paraId="1CC22167" w14:textId="77777777" w:rsidR="00C1414D" w:rsidRPr="00C1414D" w:rsidRDefault="00C1414D" w:rsidP="00C1414D">
      <w:pPr>
        <w:spacing w:after="0" w:line="240" w:lineRule="auto"/>
        <w:jc w:val="both"/>
        <w:rPr>
          <w:rFonts w:cs="Tahoma"/>
          <w:iCs/>
        </w:rPr>
      </w:pPr>
    </w:p>
    <w:p w14:paraId="5E884103" w14:textId="77777777" w:rsidR="00C1414D" w:rsidRPr="00C1414D" w:rsidRDefault="00C1414D" w:rsidP="00C1414D">
      <w:pPr>
        <w:spacing w:after="0" w:line="240" w:lineRule="auto"/>
        <w:jc w:val="both"/>
        <w:rPr>
          <w:rFonts w:cs="Tahoma"/>
          <w:iCs/>
        </w:rPr>
      </w:pPr>
      <w:r w:rsidRPr="00C1414D">
        <w:rPr>
          <w:rFonts w:cs="Tahoma"/>
          <w:iCs/>
        </w:rPr>
        <w:t>[</w:t>
      </w:r>
      <w:r w:rsidRPr="00C1414D">
        <w:rPr>
          <w:rFonts w:cs="Tahoma"/>
          <w:i/>
          <w:iCs/>
        </w:rPr>
        <w:t>À préciser</w:t>
      </w:r>
      <w:r w:rsidRPr="00C1414D">
        <w:rPr>
          <w:rFonts w:cs="Tahoma"/>
          <w:iCs/>
        </w:rPr>
        <w:t>].</w:t>
      </w:r>
    </w:p>
    <w:p w14:paraId="2C32ECB4"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 xml:space="preserve">Impossibilité de conclure </w:t>
      </w:r>
    </w:p>
    <w:p w14:paraId="38AF7C59" w14:textId="77777777" w:rsidR="00C1414D" w:rsidRPr="00C1414D" w:rsidRDefault="00C1414D" w:rsidP="00C1414D">
      <w:pPr>
        <w:widowControl w:val="0"/>
        <w:spacing w:before="90" w:after="90" w:line="240" w:lineRule="auto"/>
        <w:jc w:val="both"/>
        <w:rPr>
          <w:rFonts w:cs="Tahoma"/>
        </w:rPr>
      </w:pPr>
      <w:r w:rsidRPr="00C1414D">
        <w:rPr>
          <w:rFonts w:cs="Tahoma"/>
        </w:rPr>
        <w:t>En raison [</w:t>
      </w:r>
      <w:r w:rsidRPr="00C1414D">
        <w:rPr>
          <w:rFonts w:cs="Tahoma"/>
          <w:i/>
          <w:iCs/>
        </w:rPr>
        <w:t>à expliciter</w:t>
      </w:r>
      <w:r w:rsidRPr="00C1414D">
        <w:rPr>
          <w:rFonts w:cs="Tahoma"/>
        </w:rPr>
        <w:t xml:space="preserve">] nous ne sommes pas en mesure d’attester </w:t>
      </w:r>
      <w:r w:rsidRPr="00C1414D">
        <w:rPr>
          <w:rFonts w:cs="Tahoma"/>
          <w:iCs/>
        </w:rPr>
        <w:t>les informations figurant dans le document ci-joint</w:t>
      </w:r>
      <w:r w:rsidRPr="00C1414D">
        <w:rPr>
          <w:rFonts w:cs="Tahoma"/>
        </w:rPr>
        <w:t>.</w:t>
      </w:r>
    </w:p>
    <w:p w14:paraId="4643E3CF" w14:textId="78C67447" w:rsidR="00D46411" w:rsidRPr="0069001C" w:rsidRDefault="00C1414D" w:rsidP="0069001C">
      <w:pPr>
        <w:widowControl w:val="0"/>
        <w:spacing w:before="90" w:after="90" w:line="240" w:lineRule="auto"/>
        <w:jc w:val="both"/>
        <w:rPr>
          <w:rFonts w:cs="Tahoma"/>
        </w:rPr>
      </w:pPr>
      <w:r w:rsidRPr="00C1414D">
        <w:rPr>
          <w:rFonts w:cs="Tahoma"/>
        </w:rPr>
        <w:t>[</w:t>
      </w:r>
      <w:r w:rsidRPr="00C1414D">
        <w:rPr>
          <w:rFonts w:cs="Tahoma"/>
          <w:i/>
        </w:rPr>
        <w:t>Lieu, date et signature</w:t>
      </w:r>
      <w:r w:rsidRPr="00C1414D">
        <w:rPr>
          <w:rFonts w:cs="Tahoma"/>
        </w:rPr>
        <w:t>]</w:t>
      </w:r>
    </w:p>
    <w:sectPr w:rsidR="00D46411" w:rsidRPr="0069001C" w:rsidSect="00A2144D">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7267" w14:textId="77777777" w:rsidR="00AF71EF" w:rsidRDefault="00AF71EF" w:rsidP="00C1414D">
      <w:pPr>
        <w:spacing w:after="0" w:line="240" w:lineRule="auto"/>
      </w:pPr>
      <w:r>
        <w:separator/>
      </w:r>
    </w:p>
  </w:endnote>
  <w:endnote w:type="continuationSeparator" w:id="0">
    <w:p w14:paraId="51D966DA" w14:textId="77777777" w:rsidR="00AF71EF" w:rsidRDefault="00AF71EF" w:rsidP="00C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
      <w:gridCol w:w="8163"/>
    </w:tblGrid>
    <w:tr w:rsidR="008A0DD7" w:rsidRPr="000A782C" w14:paraId="0F8FBE8C" w14:textId="77777777" w:rsidTr="00A01621">
      <w:tc>
        <w:tcPr>
          <w:tcW w:w="500" w:type="pct"/>
          <w:tcBorders>
            <w:top w:val="single" w:sz="4" w:space="0" w:color="0070C0"/>
          </w:tcBorders>
          <w:shd w:val="clear" w:color="auto" w:fill="4F81BD"/>
        </w:tcPr>
        <w:p w14:paraId="0214C2F7" w14:textId="77777777" w:rsidR="008A0DD7" w:rsidRPr="000A782C" w:rsidRDefault="00C1414D" w:rsidP="00A2144D">
          <w:pPr>
            <w:pStyle w:val="Pieddepage"/>
            <w:rPr>
              <w:bCs/>
              <w:color w:val="FFFFFF"/>
              <w:sz w:val="16"/>
              <w:szCs w:val="16"/>
            </w:rPr>
          </w:pPr>
          <w:r w:rsidRPr="000A782C">
            <w:rPr>
              <w:bCs/>
              <w:color w:val="FFFFFF"/>
              <w:sz w:val="16"/>
              <w:szCs w:val="16"/>
            </w:rPr>
            <w:fldChar w:fldCharType="begin"/>
          </w:r>
          <w:r w:rsidRPr="000A782C">
            <w:rPr>
              <w:bCs/>
              <w:color w:val="FFFFFF"/>
              <w:sz w:val="16"/>
              <w:szCs w:val="16"/>
            </w:rPr>
            <w:instrText xml:space="preserve"> PAGE  \* Arabic  \* MERGEFORMAT </w:instrText>
          </w:r>
          <w:r w:rsidRPr="000A782C">
            <w:rPr>
              <w:bCs/>
              <w:color w:val="FFFFFF"/>
              <w:sz w:val="16"/>
              <w:szCs w:val="16"/>
            </w:rPr>
            <w:fldChar w:fldCharType="separate"/>
          </w:r>
          <w:r>
            <w:rPr>
              <w:bCs/>
              <w:noProof/>
              <w:color w:val="FFFFFF"/>
              <w:sz w:val="16"/>
              <w:szCs w:val="16"/>
            </w:rPr>
            <w:t>18</w:t>
          </w:r>
          <w:r w:rsidRPr="000A782C">
            <w:rPr>
              <w:bCs/>
              <w:color w:val="FFFFFF"/>
              <w:sz w:val="16"/>
              <w:szCs w:val="16"/>
            </w:rPr>
            <w:fldChar w:fldCharType="end"/>
          </w:r>
        </w:p>
      </w:tc>
      <w:tc>
        <w:tcPr>
          <w:tcW w:w="4500" w:type="pct"/>
          <w:tcBorders>
            <w:top w:val="single" w:sz="4" w:space="0" w:color="0070C0"/>
          </w:tcBorders>
        </w:tcPr>
        <w:p w14:paraId="718828BD" w14:textId="77777777" w:rsidR="008A0DD7" w:rsidRPr="000A782C" w:rsidRDefault="00C1414D" w:rsidP="0051050C">
          <w:pPr>
            <w:tabs>
              <w:tab w:val="center" w:pos="4536"/>
              <w:tab w:val="right" w:pos="9072"/>
            </w:tabs>
            <w:rPr>
              <w:smallCaps/>
              <w:sz w:val="16"/>
              <w:szCs w:val="16"/>
            </w:rPr>
          </w:pPr>
          <w:r w:rsidRPr="001463C4">
            <w:rPr>
              <w:smallCaps/>
              <w:sz w:val="16"/>
              <w:szCs w:val="16"/>
            </w:rPr>
            <w:t xml:space="preserve">© CNCC / Avis technique relatif aux attestations du commissaire aux comptes prévues aux articles 6-II. et 9-II. du décret </w:t>
          </w:r>
          <w:r w:rsidRPr="001463C4">
            <w:rPr>
              <w:smallCaps/>
              <w:sz w:val="16"/>
              <w:szCs w:val="16"/>
            </w:rPr>
            <w:br/>
            <w:t>n° 2022-</w:t>
          </w:r>
          <w:r>
            <w:rPr>
              <w:smallCaps/>
              <w:sz w:val="16"/>
              <w:szCs w:val="16"/>
            </w:rPr>
            <w:t>967</w:t>
          </w:r>
          <w:r w:rsidRPr="001463C4">
            <w:rPr>
              <w:smallCaps/>
              <w:sz w:val="16"/>
              <w:szCs w:val="16"/>
            </w:rPr>
            <w:t xml:space="preserve"> du </w:t>
          </w:r>
          <w:r>
            <w:rPr>
              <w:smallCaps/>
              <w:sz w:val="16"/>
              <w:szCs w:val="16"/>
            </w:rPr>
            <w:t>1</w:t>
          </w:r>
          <w:r w:rsidRPr="00255D1E">
            <w:rPr>
              <w:smallCaps/>
              <w:sz w:val="16"/>
              <w:szCs w:val="16"/>
              <w:vertAlign w:val="superscript"/>
            </w:rPr>
            <w:t>er</w:t>
          </w:r>
          <w:r>
            <w:rPr>
              <w:smallCaps/>
              <w:sz w:val="16"/>
              <w:szCs w:val="16"/>
            </w:rPr>
            <w:t xml:space="preserve"> juillet</w:t>
          </w:r>
          <w:r w:rsidRPr="001463C4">
            <w:rPr>
              <w:smallCaps/>
              <w:sz w:val="16"/>
              <w:szCs w:val="16"/>
            </w:rPr>
            <w:t xml:space="preserve"> 2022 instituant une aide visant à compenser la hausse des coûts d’approvisionnement de gaz naturel et d’électricité des entreprises </w:t>
          </w:r>
          <w:r w:rsidRPr="001463C4">
            <w:rPr>
              <w:bCs/>
              <w:smallCaps/>
              <w:sz w:val="16"/>
              <w:szCs w:val="16"/>
            </w:rPr>
            <w:t>particulièrement affectées par les conséquences économiques et financières de la guerre en Ukraine</w:t>
          </w:r>
          <w:r w:rsidRPr="001463C4">
            <w:rPr>
              <w:smallCaps/>
              <w:sz w:val="16"/>
              <w:szCs w:val="16"/>
            </w:rPr>
            <w:t xml:space="preserve"> -</w:t>
          </w:r>
          <w:r>
            <w:rPr>
              <w:smallCaps/>
              <w:sz w:val="16"/>
              <w:szCs w:val="16"/>
            </w:rPr>
            <w:t xml:space="preserve"> juillet</w:t>
          </w:r>
          <w:r w:rsidRPr="001463C4" w:rsidDel="0002421A">
            <w:rPr>
              <w:smallCaps/>
              <w:sz w:val="16"/>
              <w:szCs w:val="16"/>
            </w:rPr>
            <w:t xml:space="preserve"> </w:t>
          </w:r>
          <w:r w:rsidRPr="001463C4">
            <w:rPr>
              <w:smallCaps/>
              <w:sz w:val="16"/>
              <w:szCs w:val="16"/>
            </w:rPr>
            <w:t>2022</w:t>
          </w:r>
        </w:p>
      </w:tc>
    </w:tr>
  </w:tbl>
  <w:p w14:paraId="188DA9D9" w14:textId="77777777" w:rsidR="008A0DD7" w:rsidRDefault="009F76D7" w:rsidP="00A2144D">
    <w:pPr>
      <w:pStyle w:val="Pieddepage"/>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119061"/>
      <w:docPartObj>
        <w:docPartGallery w:val="Page Numbers (Bottom of Page)"/>
        <w:docPartUnique/>
      </w:docPartObj>
    </w:sdtPr>
    <w:sdtEndPr/>
    <w:sdtContent>
      <w:p w14:paraId="59902F69" w14:textId="02AA0541" w:rsidR="007F436A" w:rsidRDefault="007F436A">
        <w:pPr>
          <w:pStyle w:val="Pieddepage"/>
          <w:jc w:val="right"/>
        </w:pPr>
        <w:r>
          <w:fldChar w:fldCharType="begin"/>
        </w:r>
        <w:r>
          <w:instrText>PAGE   \* MERGEFORMAT</w:instrText>
        </w:r>
        <w:r>
          <w:fldChar w:fldCharType="separate"/>
        </w:r>
        <w:r w:rsidR="00781B71">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85041"/>
      <w:docPartObj>
        <w:docPartGallery w:val="Page Numbers (Bottom of Page)"/>
        <w:docPartUnique/>
      </w:docPartObj>
    </w:sdtPr>
    <w:sdtEndPr/>
    <w:sdtContent>
      <w:p w14:paraId="063163B1" w14:textId="45889C03" w:rsidR="007F436A" w:rsidRDefault="007F436A">
        <w:pPr>
          <w:pStyle w:val="Pieddepage"/>
          <w:jc w:val="right"/>
        </w:pPr>
        <w:r>
          <w:fldChar w:fldCharType="begin"/>
        </w:r>
        <w:r>
          <w:instrText>PAGE   \* MERGEFORMAT</w:instrText>
        </w:r>
        <w:r>
          <w:fldChar w:fldCharType="separate"/>
        </w:r>
        <w:r w:rsidR="00781B7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C996" w14:textId="77777777" w:rsidR="00AF71EF" w:rsidRDefault="00AF71EF" w:rsidP="00C1414D">
      <w:pPr>
        <w:spacing w:after="0" w:line="240" w:lineRule="auto"/>
      </w:pPr>
      <w:r>
        <w:separator/>
      </w:r>
    </w:p>
  </w:footnote>
  <w:footnote w:type="continuationSeparator" w:id="0">
    <w:p w14:paraId="1CD98213" w14:textId="77777777" w:rsidR="00AF71EF" w:rsidRDefault="00AF71EF" w:rsidP="00C1414D">
      <w:pPr>
        <w:spacing w:after="0" w:line="240" w:lineRule="auto"/>
      </w:pPr>
      <w:r>
        <w:continuationSeparator/>
      </w:r>
    </w:p>
  </w:footnote>
  <w:footnote w:id="1">
    <w:p w14:paraId="4E178225" w14:textId="6A968D80" w:rsidR="00C754DC" w:rsidRDefault="00C754DC">
      <w:pPr>
        <w:pStyle w:val="Notedebasdepage"/>
      </w:pPr>
      <w:r>
        <w:rPr>
          <w:rStyle w:val="Appelnotedebasdep"/>
        </w:rPr>
        <w:footnoteRef/>
      </w:r>
      <w:r>
        <w:t xml:space="preserve"> </w:t>
      </w:r>
      <w:r>
        <w:rPr>
          <w:rStyle w:val="ykmvie"/>
        </w:rPr>
        <w:t>À</w:t>
      </w:r>
      <w:r>
        <w:t xml:space="preserve"> adapter pour les entreprises créées entre le 1</w:t>
      </w:r>
      <w:r w:rsidRPr="009765B5">
        <w:rPr>
          <w:vertAlign w:val="superscript"/>
        </w:rPr>
        <w:t>er</w:t>
      </w:r>
      <w:r>
        <w:t xml:space="preserve"> janvier 2021 et le 30 novembre 2021 pour lesquelles la période de référence correspond à la période comprise entre la date de création de l’entreprise et le 31 décembre 2021.</w:t>
      </w:r>
    </w:p>
  </w:footnote>
  <w:footnote w:id="2">
    <w:p w14:paraId="6E732BED" w14:textId="77777777" w:rsidR="00C1414D" w:rsidRDefault="00C1414D" w:rsidP="00C1414D">
      <w:pPr>
        <w:pStyle w:val="Notedebasdepage"/>
      </w:pPr>
      <w:r>
        <w:rPr>
          <w:rStyle w:val="Appelnotedebasdep"/>
        </w:rPr>
        <w:footnoteRef/>
      </w:r>
      <w:r>
        <w:t xml:space="preserve"> 31 décembre </w:t>
      </w:r>
      <w:r w:rsidRPr="00A9422B">
        <w:t>20</w:t>
      </w:r>
      <w:r>
        <w:t xml:space="preserve">21 ou à modifier </w:t>
      </w:r>
      <w:bookmarkStart w:id="5" w:name="_Hlk72947090"/>
      <w:r>
        <w:t>lorsque l’exercice ne coïncide pas avec l’année civile</w:t>
      </w:r>
      <w:bookmarkEnd w:id="5"/>
      <w:r>
        <w:t xml:space="preserve">. </w:t>
      </w:r>
    </w:p>
  </w:footnote>
  <w:footnote w:id="3">
    <w:p w14:paraId="536919EF" w14:textId="4992B9CD" w:rsidR="00C1414D" w:rsidRDefault="00C1414D" w:rsidP="00C1414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C696F"/>
    <w:multiLevelType w:val="hybridMultilevel"/>
    <w:tmpl w:val="43DE1EE4"/>
    <w:lvl w:ilvl="0" w:tplc="9410C4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E4439A"/>
    <w:multiLevelType w:val="hybridMultilevel"/>
    <w:tmpl w:val="42344004"/>
    <w:lvl w:ilvl="0" w:tplc="BD5E3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C1097"/>
    <w:multiLevelType w:val="hybridMultilevel"/>
    <w:tmpl w:val="380C817A"/>
    <w:lvl w:ilvl="0" w:tplc="736A3350">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4D"/>
    <w:rsid w:val="0003105C"/>
    <w:rsid w:val="000C559B"/>
    <w:rsid w:val="00137997"/>
    <w:rsid w:val="001B3197"/>
    <w:rsid w:val="001C2209"/>
    <w:rsid w:val="001F7156"/>
    <w:rsid w:val="002C4A2E"/>
    <w:rsid w:val="0030696F"/>
    <w:rsid w:val="00395E0F"/>
    <w:rsid w:val="004567AB"/>
    <w:rsid w:val="004C73EF"/>
    <w:rsid w:val="005C4D88"/>
    <w:rsid w:val="0061120D"/>
    <w:rsid w:val="006168ED"/>
    <w:rsid w:val="00647CB6"/>
    <w:rsid w:val="00675DA1"/>
    <w:rsid w:val="0069001C"/>
    <w:rsid w:val="00722705"/>
    <w:rsid w:val="00727B89"/>
    <w:rsid w:val="007511A0"/>
    <w:rsid w:val="00781B71"/>
    <w:rsid w:val="007F436A"/>
    <w:rsid w:val="008127E5"/>
    <w:rsid w:val="008D3A94"/>
    <w:rsid w:val="00963583"/>
    <w:rsid w:val="00964133"/>
    <w:rsid w:val="009F76D7"/>
    <w:rsid w:val="00AF71EF"/>
    <w:rsid w:val="00B14DF6"/>
    <w:rsid w:val="00BD2DF5"/>
    <w:rsid w:val="00C1414D"/>
    <w:rsid w:val="00C754DC"/>
    <w:rsid w:val="00D46411"/>
    <w:rsid w:val="00D7590A"/>
    <w:rsid w:val="00FD2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E6D1A6"/>
  <w15:chartTrackingRefBased/>
  <w15:docId w15:val="{DB0ABED2-A514-4AEE-BF50-23AB960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414D"/>
    <w:rPr>
      <w:sz w:val="20"/>
      <w:szCs w:val="20"/>
    </w:rPr>
  </w:style>
  <w:style w:type="character" w:styleId="Appelnotedebasdep">
    <w:name w:val="footnote reference"/>
    <w:basedOn w:val="Policepardfaut"/>
    <w:uiPriority w:val="99"/>
    <w:unhideWhenUsed/>
    <w:rsid w:val="00C1414D"/>
    <w:rPr>
      <w:vertAlign w:val="superscript"/>
    </w:rPr>
  </w:style>
  <w:style w:type="paragraph" w:styleId="En-tte">
    <w:name w:val="header"/>
    <w:basedOn w:val="Normal"/>
    <w:link w:val="En-tteCar"/>
    <w:uiPriority w:val="99"/>
    <w:unhideWhenUsed/>
    <w:rsid w:val="00C1414D"/>
    <w:pPr>
      <w:tabs>
        <w:tab w:val="center" w:pos="4536"/>
        <w:tab w:val="right" w:pos="9072"/>
      </w:tabs>
      <w:spacing w:beforeAutospacing="1" w:after="0" w:afterAutospacing="1" w:line="240" w:lineRule="auto"/>
      <w:jc w:val="both"/>
    </w:pPr>
  </w:style>
  <w:style w:type="character" w:customStyle="1" w:styleId="En-tteCar">
    <w:name w:val="En-tête Car"/>
    <w:basedOn w:val="Policepardfaut"/>
    <w:link w:val="En-tte"/>
    <w:uiPriority w:val="99"/>
    <w:rsid w:val="00C1414D"/>
  </w:style>
  <w:style w:type="paragraph" w:styleId="Pieddepage">
    <w:name w:val="footer"/>
    <w:basedOn w:val="Normal"/>
    <w:link w:val="PieddepageCar"/>
    <w:uiPriority w:val="99"/>
    <w:unhideWhenUsed/>
    <w:rsid w:val="00C1414D"/>
    <w:pPr>
      <w:tabs>
        <w:tab w:val="center" w:pos="4536"/>
        <w:tab w:val="right" w:pos="9072"/>
      </w:tabs>
      <w:spacing w:beforeAutospacing="1" w:after="0" w:afterAutospacing="1" w:line="240" w:lineRule="auto"/>
      <w:jc w:val="both"/>
    </w:pPr>
  </w:style>
  <w:style w:type="character" w:customStyle="1" w:styleId="PieddepageCar">
    <w:name w:val="Pied de page Car"/>
    <w:basedOn w:val="Policepardfaut"/>
    <w:link w:val="Pieddepage"/>
    <w:uiPriority w:val="99"/>
    <w:rsid w:val="00C1414D"/>
  </w:style>
  <w:style w:type="paragraph" w:styleId="Rvision">
    <w:name w:val="Revision"/>
    <w:hidden/>
    <w:uiPriority w:val="99"/>
    <w:semiHidden/>
    <w:rsid w:val="0030696F"/>
    <w:pPr>
      <w:spacing w:after="0" w:line="240" w:lineRule="auto"/>
    </w:pPr>
  </w:style>
  <w:style w:type="paragraph" w:styleId="Textedebulles">
    <w:name w:val="Balloon Text"/>
    <w:basedOn w:val="Normal"/>
    <w:link w:val="TextedebullesCar"/>
    <w:uiPriority w:val="99"/>
    <w:semiHidden/>
    <w:unhideWhenUsed/>
    <w:rsid w:val="003069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696F"/>
    <w:rPr>
      <w:rFonts w:ascii="Segoe UI" w:hAnsi="Segoe UI" w:cs="Segoe UI"/>
      <w:sz w:val="18"/>
      <w:szCs w:val="18"/>
    </w:rPr>
  </w:style>
  <w:style w:type="character" w:customStyle="1" w:styleId="ykmvie">
    <w:name w:val="ykmvie"/>
    <w:basedOn w:val="Policepardfaut"/>
    <w:rsid w:val="00C754DC"/>
  </w:style>
  <w:style w:type="character" w:styleId="Marquedecommentaire">
    <w:name w:val="annotation reference"/>
    <w:basedOn w:val="Policepardfaut"/>
    <w:uiPriority w:val="99"/>
    <w:semiHidden/>
    <w:unhideWhenUsed/>
    <w:rsid w:val="00675DA1"/>
    <w:rPr>
      <w:sz w:val="16"/>
      <w:szCs w:val="16"/>
    </w:rPr>
  </w:style>
  <w:style w:type="paragraph" w:styleId="Commentaire">
    <w:name w:val="annotation text"/>
    <w:basedOn w:val="Normal"/>
    <w:link w:val="CommentaireCar"/>
    <w:uiPriority w:val="99"/>
    <w:semiHidden/>
    <w:unhideWhenUsed/>
    <w:rsid w:val="00675DA1"/>
    <w:pPr>
      <w:spacing w:line="240" w:lineRule="auto"/>
    </w:pPr>
    <w:rPr>
      <w:sz w:val="20"/>
      <w:szCs w:val="20"/>
    </w:rPr>
  </w:style>
  <w:style w:type="character" w:customStyle="1" w:styleId="CommentaireCar">
    <w:name w:val="Commentaire Car"/>
    <w:basedOn w:val="Policepardfaut"/>
    <w:link w:val="Commentaire"/>
    <w:uiPriority w:val="99"/>
    <w:semiHidden/>
    <w:rsid w:val="00675DA1"/>
    <w:rPr>
      <w:sz w:val="20"/>
      <w:szCs w:val="20"/>
    </w:rPr>
  </w:style>
  <w:style w:type="paragraph" w:styleId="Objetducommentaire">
    <w:name w:val="annotation subject"/>
    <w:basedOn w:val="Commentaire"/>
    <w:next w:val="Commentaire"/>
    <w:link w:val="ObjetducommentaireCar"/>
    <w:uiPriority w:val="99"/>
    <w:semiHidden/>
    <w:unhideWhenUsed/>
    <w:rsid w:val="00675DA1"/>
    <w:rPr>
      <w:b/>
      <w:bCs/>
    </w:rPr>
  </w:style>
  <w:style w:type="character" w:customStyle="1" w:styleId="ObjetducommentaireCar">
    <w:name w:val="Objet du commentaire Car"/>
    <w:basedOn w:val="CommentaireCar"/>
    <w:link w:val="Objetducommentaire"/>
    <w:uiPriority w:val="99"/>
    <w:semiHidden/>
    <w:rsid w:val="00675DA1"/>
    <w:rPr>
      <w:b/>
      <w:bCs/>
      <w:sz w:val="20"/>
      <w:szCs w:val="20"/>
    </w:rPr>
  </w:style>
  <w:style w:type="character" w:styleId="Accentuation">
    <w:name w:val="Emphasis"/>
    <w:basedOn w:val="Policepardfaut"/>
    <w:uiPriority w:val="20"/>
    <w:qFormat/>
    <w:rsid w:val="00BD2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08AE-4AC1-4A73-9932-D7D46F5C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6158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dc:creator>
  <cp:keywords/>
  <dc:description/>
  <cp:lastModifiedBy>Sandrine Chantalou</cp:lastModifiedBy>
  <cp:revision>3</cp:revision>
  <dcterms:created xsi:type="dcterms:W3CDTF">2024-01-26T17:23:00Z</dcterms:created>
  <dcterms:modified xsi:type="dcterms:W3CDTF">2024-01-29T11:20:00Z</dcterms:modified>
</cp:coreProperties>
</file>